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FDA 비임상 근거 검토 양식</w:t>
      </w:r>
    </w:p>
    <w:p>
      <w:r>
        <w:t>공개 FDA 심사자료에서 시험 하나의 조건과 관찰을 기록하는 양식입니다. 원문 관찰과 심사자 판단을 분리하고, 공개되지 않은 항목은 미확인으로 남깁니다. 임상 안전성이나 GLP 적합성을 판정하는 공식 서식은 아닙니다.</w:t>
      </w:r>
    </w:p>
    <w:p>
      <w:r>
        <w:t>바이오정보모아 편집 양식  v2  2026년 10월 16일</w:t>
      </w:r>
    </w:p>
    <w:p>
      <w:pPr>
        <w:pStyle w:val="Heading2"/>
      </w:pPr>
      <w:r>
        <w:t>자료와 시험 식별</w:t>
      </w:r>
    </w:p>
    <w:p>
      <w:pPr>
        <w:spacing w:after="220"/>
      </w:pPr>
      <w:r>
        <w:rPr>
          <w:b/>
        </w:rPr>
        <w:t xml:space="preserve">제품과 성분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신청번호 및 최초 변경 구분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문서 제목 종류와 날짜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원문 URL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절과 인쇄 페이지 PDF 페이지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시험 ID 목적과 GLP 명시 여부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시험물질 공정 lot 및 대리 물질 여부  </w:t>
      </w:r>
      <w:r>
        <w:t>________________________________________________</w:t>
      </w:r>
    </w:p>
    <w:p>
      <w:pPr>
        <w:pStyle w:val="Heading2"/>
      </w:pPr>
      <w:r>
        <w:t>모델과 투여 조건</w:t>
      </w:r>
    </w:p>
    <w:p>
      <w:pPr>
        <w:spacing w:after="220"/>
      </w:pPr>
      <w:r>
        <w:rPr>
          <w:b/>
        </w:rPr>
        <w:t xml:space="preserve">종 질환 성별 연령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군별 n 대조군 회복군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경로 용량 단위 및 실제 투여 일정  </w:t>
      </w:r>
      <w:r>
        <w:t>________________________________________________</w:t>
      </w:r>
    </w:p>
    <w:p>
      <w:pPr>
        <w:spacing w:after="220"/>
      </w:pPr>
      <w:r>
        <w:rPr>
          <w:b/>
        </w:rPr>
        <w:t xml:space="preserve">Endpoint assay LLOQ 및 채취 시점  </w:t>
      </w:r>
      <w:r>
        <w:t>________________________________________________</w:t>
      </w:r>
    </w:p>
    <w:p>
      <w:r>
        <w:t>한 약물의 서로 다른 시험을 합치지 마세요. 중단·감량·결측·회복 관찰기간을 원문에 따라 별도로 기록합니다.</w:t>
      </w:r>
    </w:p>
    <w:p>
      <w:r>
        <w:br w:type="page"/>
      </w:r>
    </w:p>
    <w:p>
      <w:pPr>
        <w:pStyle w:val="Heading1"/>
      </w:pPr>
      <w:r>
        <w:t>관찰과 해석을 나눠 기록하기</w:t>
      </w:r>
    </w:p>
    <w:p>
      <w:r>
        <w:t>수치에는 단위·분모·시점을 함께 기록합니다. NOAEL이나 HNSTD는 원문이 명명한 경우에만 적습니다. 최고시험용량을 자동으로 NOAEL로 바꾸지 않습니다.</w:t>
      </w:r>
    </w:p>
    <w:p>
      <w:pPr>
        <w:pStyle w:val="Heading2"/>
      </w:pPr>
      <w:r>
        <w:t>원문 관찰 수치와 조건</w:t>
      </w:r>
    </w:p>
    <w:p>
      <w:r>
        <w:t>____________________________________________________________________</w:t>
      </w:r>
    </w:p>
    <w:p>
      <w:pPr>
        <w:pStyle w:val="Heading2"/>
      </w:pPr>
      <w:r>
        <w:t>신청자 해석</w:t>
      </w:r>
    </w:p>
    <w:p>
      <w:r>
        <w:t>____________________________________________________________________</w:t>
      </w:r>
    </w:p>
    <w:p>
      <w:pPr>
        <w:pStyle w:val="Heading2"/>
      </w:pPr>
      <w:r>
        <w:t>심사자 판단</w:t>
      </w:r>
    </w:p>
    <w:p>
      <w:r>
        <w:t>____________________________________________________________________</w:t>
      </w:r>
    </w:p>
    <w:p>
      <w:pPr>
        <w:pStyle w:val="Heading2"/>
      </w:pPr>
      <w:r>
        <w:t>개발 해석과 추가 가정</w:t>
      </w:r>
    </w:p>
    <w:p>
      <w:r>
        <w:t>____________________________________________________________________</w:t>
      </w:r>
    </w:p>
    <w:p>
      <w:pPr>
        <w:pStyle w:val="Heading2"/>
      </w:pPr>
      <w:r>
        <w:t>회복 또는 잔존 소견</w:t>
      </w:r>
    </w:p>
    <w:p>
      <w:r>
        <w:t>____________________________________________________________________</w:t>
      </w:r>
    </w:p>
    <w:p>
      <w:pPr>
        <w:pStyle w:val="Heading2"/>
      </w:pPr>
      <w:r>
        <w:t>이 자료로 내릴 수 없는 결론</w:t>
      </w:r>
    </w:p>
    <w:p>
      <w:r>
        <w:t>____________________________________________________________________</w:t>
      </w:r>
    </w:p>
    <w:p>
      <w:pPr>
        <w:pStyle w:val="Heading2"/>
      </w:pPr>
      <w:r>
        <w:t>다음에 필요한 자료</w:t>
      </w:r>
    </w:p>
    <w:p>
      <w:r>
        <w:t>____________________________________________________________________</w:t>
      </w:r>
    </w:p>
    <w:p>
      <w:pPr>
        <w:pStyle w:val="Heading2"/>
      </w:pPr>
      <w:r>
        <w:t>비교를 보류해야 하는 경우</w:t>
      </w:r>
    </w:p>
    <w:p>
      <w:r>
        <w:t>Analyte·단위·AUC 구간·투여 차수·모델·시험물질이 맞지 않으면 정량 비교를 보류합니다. 용량 비율은 AUC 안전역이 아닙니다. 개체별 노출이나 군별 n이 없으면 발생률과 노출–독성 관계를 복원하지 않습니다.</w:t>
      </w:r>
    </w:p>
    <w:p>
      <w:r>
        <w:br w:type="page"/>
      </w:r>
    </w:p>
    <w:p>
      <w:pPr>
        <w:pStyle w:val="Heading1"/>
      </w:pPr>
      <w:r>
        <w:t>럭스터나 작성 예시</w:t>
      </w:r>
    </w:p>
    <w:p>
      <w:r>
        <w:t>이 예시는 양식 사용법을 설명합니다. 전체 원시험 보고서를 재분석하거나 최신 처방정보를 검토한 결과가 아닙니다.</w:t>
      </w:r>
    </w:p>
    <w:p>
      <w:pPr>
        <w:pStyle w:val="Heading2"/>
      </w:pPr>
      <w:r>
        <w:t>확인한 원문과 관찰</w:t>
      </w:r>
    </w:p>
    <w:p>
      <w:r>
        <w:t>FDA LUXTURNA Summary Basis for Regulatory Action, STN 125610, 2017년 12월 18일, §4. 인쇄 pp.12–13 / PDF pp.10–11.</w:t>
      </w:r>
    </w:p>
    <w:p>
      <w:r>
        <w:t>https://www.fda.gov/media/110141/download</w:t>
      </w:r>
    </w:p>
    <w:p>
      <w:r>
        <w:t>정상 시력 NHP의 NOAEL은 7.5 × 10¹¹ vg/eye로 명시돼 있습니다. SBRA의 제안 임상 용량 1.5 × 10¹¹ vg/eye와 같은 단위로 나누면 용량 배수는 5입니다.</w:t>
      </w:r>
    </w:p>
    <w:p>
      <w:pPr>
        <w:pStyle w:val="Heading2"/>
      </w:pPr>
      <w:r>
        <w:t>계산이 답하는 범위</w:t>
      </w:r>
    </w:p>
    <w:p>
      <w:r>
        <w:t>7.5 × 10¹¹ vg/eye ÷ 1.5 × 10¹¹ vg/eye = 5. 이는 용량 비율입니다. 동물과 사람의 AUC를 비교하지 않았으므로 AUC 안전역으로 적지 않습니다. 다른 제품·종·경로에 이 배수를 옮길 수 없습니다.</w:t>
      </w:r>
    </w:p>
    <w:p>
      <w:pPr>
        <w:pStyle w:val="Heading2"/>
      </w:pPr>
      <w:r>
        <w:t>분리해야 하는 시험</w:t>
      </w:r>
    </w:p>
    <w:p>
      <w:r>
        <w:t>Precursor vector를 정상 시력 dog에 1.5 × 10¹² vg/eye로 투여했을 때의 안구 염증·망막 변성은 별도 시험입니다. NHP 제품의 NOAEL과 하나의 용량–반응 곡선으로 합치지 않습니다.</w:t>
      </w:r>
    </w:p>
    <w:p>
      <w:pPr>
        <w:pStyle w:val="Heading2"/>
      </w:pPr>
      <w:r>
        <w:t>미확인과 다음 질문</w:t>
      </w:r>
    </w:p>
    <w:p>
      <w:r>
        <w:t>이 예시에서는 군별 n과 개체별 AUC를 추출하지 않았습니다. DNA 분포·단백질 발현·기능·병리를 같은 조직과 시점에서 연결하는 자료가 필요합니다. DNA 미검출은 기능이나 평생 위험의 부재를 뜻하지 않습니다.</w:t>
      </w:r>
    </w:p>
    <w:p>
      <w:pPr>
        <w:pStyle w:val="Heading2"/>
      </w:pPr>
      <w:r>
        <w:t>재사용과 보관</w:t>
      </w:r>
    </w:p>
    <w:p>
      <w:r>
        <w:t>파일을 복사해 시험마다 새 기록을 만드세요. 원문 URL과 페이지를 남기고 수정 날짜를 기록합니다. 작성한 내용은 로컬 파일에 저장되며 사이트로 전송되지 않습니다.</w:t>
      </w:r>
    </w:p>
    <w:p>
      <w:r>
        <w:t>상세 사례  https://biojungbomoa.com/notes/luxturna-dose-margin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비임상 원문 검토 양식  ·  2026년 10월 16일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Malgun Gothic" w:hAnsi="Malgun Gothic" w:eastAsia="Malgun Gothi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FDA 비임상 근거 검토 양식</dc:title>
  <dc:subject>시험별 원문 추출과 해석 범위 기록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